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9D21" w14:textId="77777777" w:rsidR="00592ABF" w:rsidRPr="00592ABF" w:rsidRDefault="00592ABF" w:rsidP="00592ABF">
      <w:pPr>
        <w:pStyle w:val="Introduction"/>
        <w:rPr>
          <w:rFonts w:asciiTheme="majorHAnsi" w:eastAsiaTheme="majorEastAsia" w:hAnsiTheme="majorHAnsi" w:cstheme="majorBidi"/>
          <w:b/>
          <w:bCs/>
          <w:caps/>
          <w:kern w:val="28"/>
          <w:sz w:val="40"/>
          <w:szCs w:val="40"/>
        </w:rPr>
      </w:pPr>
      <w:r w:rsidRPr="00592ABF">
        <w:rPr>
          <w:rFonts w:ascii="Segoe UI Emoji" w:eastAsiaTheme="majorEastAsia" w:hAnsi="Segoe UI Emoji" w:cs="Segoe UI Emoji"/>
          <w:b/>
          <w:bCs/>
          <w:caps/>
          <w:kern w:val="28"/>
          <w:sz w:val="40"/>
          <w:szCs w:val="40"/>
        </w:rPr>
        <w:t>📊</w:t>
      </w:r>
      <w:r w:rsidRPr="00592ABF">
        <w:rPr>
          <w:rFonts w:asciiTheme="majorHAnsi" w:eastAsiaTheme="majorEastAsia" w:hAnsiTheme="majorHAnsi" w:cstheme="majorBidi"/>
          <w:b/>
          <w:bCs/>
          <w:caps/>
          <w:kern w:val="28"/>
          <w:sz w:val="40"/>
          <w:szCs w:val="40"/>
        </w:rPr>
        <w:t xml:space="preserve"> Table 2 — GCC Cloud Regions: Performance vs Compliance</w:t>
      </w:r>
    </w:p>
    <w:p w14:paraId="15D6A5A2" w14:textId="7E279A42" w:rsidR="001A73CA" w:rsidRPr="00592ABF" w:rsidRDefault="00592ABF" w:rsidP="00592ABF">
      <w:pPr>
        <w:pStyle w:val="Introduction"/>
        <w:rPr>
          <w:rFonts w:asciiTheme="majorHAnsi" w:eastAsiaTheme="majorEastAsia" w:hAnsiTheme="majorHAnsi" w:cstheme="majorBidi"/>
          <w:caps/>
          <w:color w:val="595959" w:themeColor="text1" w:themeTint="A6"/>
          <w:kern w:val="28"/>
          <w:sz w:val="70"/>
          <w:szCs w:val="56"/>
        </w:rPr>
      </w:pPr>
      <w:r w:rsidRPr="00592ABF">
        <w:rPr>
          <w:b/>
          <w:bCs/>
        </w:rPr>
        <w:t>Insert location:</w:t>
      </w:r>
      <w:r w:rsidRPr="00592ABF">
        <w:rPr>
          <w:b/>
          <w:bCs/>
        </w:rPr>
        <w:br/>
      </w:r>
      <w:r w:rsidRPr="00592ABF">
        <w:t xml:space="preserve">After </w:t>
      </w:r>
      <w:r w:rsidRPr="00592ABF">
        <w:rPr>
          <w:i/>
          <w:iCs/>
        </w:rPr>
        <w:t>“Regulatory Comparison Across GCC Cloud Regions”</w:t>
      </w:r>
    </w:p>
    <w:tbl>
      <w:tblPr>
        <w:tblStyle w:val="PlainTable4"/>
        <w:tblW w:w="4976" w:type="pct"/>
        <w:tblLook w:val="0420" w:firstRow="1" w:lastRow="0" w:firstColumn="0" w:lastColumn="0" w:noHBand="0" w:noVBand="1"/>
        <w:tblDescription w:val="Layout table for name, contact info and objective"/>
      </w:tblPr>
      <w:tblGrid>
        <w:gridCol w:w="4739"/>
        <w:gridCol w:w="3625"/>
        <w:gridCol w:w="2524"/>
        <w:gridCol w:w="3003"/>
      </w:tblGrid>
      <w:tr w:rsidR="00F51082" w:rsidRPr="00BC7081" w14:paraId="2794AD0C" w14:textId="77777777" w:rsidTr="00F51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tcW w:w="4739" w:type="dxa"/>
          </w:tcPr>
          <w:p w14:paraId="669CF7FE" w14:textId="2FA39040" w:rsidR="00F51082" w:rsidRPr="00F51082" w:rsidRDefault="00F51082" w:rsidP="00F51082">
            <w:pPr>
              <w:pStyle w:val="Title"/>
              <w:rPr>
                <w:b/>
                <w:bCs w:val="0"/>
                <w:sz w:val="21"/>
                <w:szCs w:val="21"/>
              </w:rPr>
            </w:pPr>
            <w:r w:rsidRPr="00F51082">
              <w:rPr>
                <w:b/>
                <w:bCs w:val="0"/>
                <w:sz w:val="21"/>
                <w:szCs w:val="21"/>
              </w:rPr>
              <w:t>Cloud Region</w:t>
            </w:r>
          </w:p>
        </w:tc>
        <w:tc>
          <w:tcPr>
            <w:tcW w:w="3625" w:type="dxa"/>
          </w:tcPr>
          <w:p w14:paraId="4860B5A5" w14:textId="2B28F01C" w:rsidR="00F51082" w:rsidRPr="00BC7081" w:rsidRDefault="00592ABF" w:rsidP="00592ABF">
            <w:pPr>
              <w:pStyle w:val="Heading1"/>
            </w:pPr>
            <w:r w:rsidRPr="00592ABF">
              <w:t>Latency Performance for Saudi Traffic</w:t>
            </w:r>
          </w:p>
        </w:tc>
        <w:tc>
          <w:tcPr>
            <w:tcW w:w="2524" w:type="dxa"/>
          </w:tcPr>
          <w:p w14:paraId="525195E2" w14:textId="78B60CA8" w:rsidR="00F51082" w:rsidRPr="00BC7081" w:rsidRDefault="00592ABF" w:rsidP="00592ABF">
            <w:pPr>
              <w:pStyle w:val="Heading1"/>
            </w:pPr>
            <w:r w:rsidRPr="00592ABF">
              <w:t>Data Sovereignty Alignment</w:t>
            </w:r>
          </w:p>
        </w:tc>
        <w:tc>
          <w:tcPr>
            <w:tcW w:w="3003" w:type="dxa"/>
          </w:tcPr>
          <w:p w14:paraId="765359D4" w14:textId="5E2E28C7" w:rsidR="00F51082" w:rsidRPr="00BC7081" w:rsidRDefault="00592ABF" w:rsidP="00592ABF">
            <w:r w:rsidRPr="00592ABF">
              <w:rPr>
                <w:rFonts w:asciiTheme="majorHAnsi" w:eastAsiaTheme="majorEastAsia" w:hAnsiTheme="majorHAnsi" w:cstheme="majorBidi"/>
                <w:b/>
                <w:caps/>
                <w:color w:val="1D824C" w:themeColor="accent1"/>
                <w:szCs w:val="32"/>
              </w:rPr>
              <w:t>Best Use Case</w:t>
            </w:r>
          </w:p>
        </w:tc>
      </w:tr>
      <w:tr w:rsidR="00F51082" w:rsidRPr="00BC7081" w14:paraId="545C8D32" w14:textId="77777777" w:rsidTr="00F51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0DBF643A" w14:textId="766DB66B" w:rsidR="00F51082" w:rsidRPr="00BC7081" w:rsidRDefault="00F51082" w:rsidP="00F51082">
            <w:pPr>
              <w:pStyle w:val="Heading2"/>
            </w:pPr>
            <w:r w:rsidRPr="00F51082">
              <w:t>Saudi Arabia (In-Kingdom)</w:t>
            </w:r>
          </w:p>
        </w:tc>
        <w:tc>
          <w:tcPr>
            <w:tcW w:w="3625" w:type="dxa"/>
          </w:tcPr>
          <w:p w14:paraId="0274C7C3" w14:textId="4B477FDA" w:rsidR="00F51082" w:rsidRPr="00BC7081" w:rsidRDefault="00592ABF" w:rsidP="00592ABF">
            <w:pPr>
              <w:spacing w:beforeLines="40" w:before="96"/>
            </w:pPr>
            <w:r w:rsidRPr="00592ABF">
              <w:t>Excellent</w:t>
            </w:r>
          </w:p>
        </w:tc>
        <w:tc>
          <w:tcPr>
            <w:tcW w:w="2524" w:type="dxa"/>
          </w:tcPr>
          <w:p w14:paraId="55202A47" w14:textId="6F3DEE56" w:rsidR="00F51082" w:rsidRPr="00BC7081" w:rsidRDefault="00592ABF" w:rsidP="00592ABF">
            <w:pPr>
              <w:spacing w:beforeLines="40" w:before="96"/>
            </w:pPr>
            <w:r w:rsidRPr="00592ABF">
              <w:t>Full</w:t>
            </w:r>
          </w:p>
        </w:tc>
        <w:tc>
          <w:tcPr>
            <w:tcW w:w="3003" w:type="dxa"/>
          </w:tcPr>
          <w:p w14:paraId="4E02C69A" w14:textId="6CDA9E52" w:rsidR="00F51082" w:rsidRPr="00BC7081" w:rsidRDefault="00592ABF" w:rsidP="00592ABF">
            <w:pPr>
              <w:spacing w:beforeLines="40" w:before="96"/>
            </w:pPr>
            <w:r w:rsidRPr="00592ABF">
              <w:t>Production, regulated workloads</w:t>
            </w:r>
          </w:p>
        </w:tc>
      </w:tr>
      <w:tr w:rsidR="00F51082" w:rsidRPr="00BC7081" w14:paraId="6DA02419" w14:textId="77777777" w:rsidTr="00F51082">
        <w:trPr>
          <w:trHeight w:val="733"/>
        </w:trPr>
        <w:tc>
          <w:tcPr>
            <w:tcW w:w="4739" w:type="dxa"/>
          </w:tcPr>
          <w:p w14:paraId="7DA1A90D" w14:textId="0D343F3E" w:rsidR="00F51082" w:rsidRPr="00BC7081" w:rsidRDefault="00592ABF" w:rsidP="00592ABF">
            <w:pPr>
              <w:pStyle w:val="Heading2"/>
            </w:pPr>
            <w:r w:rsidRPr="00592ABF">
              <w:t>UAE</w:t>
            </w:r>
          </w:p>
        </w:tc>
        <w:tc>
          <w:tcPr>
            <w:tcW w:w="3625" w:type="dxa"/>
          </w:tcPr>
          <w:p w14:paraId="3DDF5B86" w14:textId="34CC8D0A" w:rsidR="00F51082" w:rsidRPr="00BC7081" w:rsidRDefault="00592ABF" w:rsidP="00592ABF">
            <w:pPr>
              <w:spacing w:beforeLines="40" w:before="96"/>
            </w:pPr>
            <w:r w:rsidRPr="00592ABF">
              <w:t>Very Good</w:t>
            </w:r>
          </w:p>
        </w:tc>
        <w:tc>
          <w:tcPr>
            <w:tcW w:w="2524" w:type="dxa"/>
          </w:tcPr>
          <w:p w14:paraId="3CC6EAA3" w14:textId="075DE41D" w:rsidR="00F51082" w:rsidRPr="00BC7081" w:rsidRDefault="00592ABF" w:rsidP="00592ABF">
            <w:pPr>
              <w:spacing w:beforeLines="40" w:before="96"/>
            </w:pPr>
            <w:r w:rsidRPr="00592ABF">
              <w:t>Partial</w:t>
            </w:r>
          </w:p>
        </w:tc>
        <w:tc>
          <w:tcPr>
            <w:tcW w:w="3003" w:type="dxa"/>
          </w:tcPr>
          <w:p w14:paraId="36244994" w14:textId="7D2ED27E" w:rsidR="00F51082" w:rsidRPr="00BC7081" w:rsidRDefault="00592ABF" w:rsidP="00592ABF">
            <w:pPr>
              <w:spacing w:beforeLines="40" w:before="96"/>
            </w:pPr>
            <w:r w:rsidRPr="00592ABF">
              <w:t>DR, regional services</w:t>
            </w:r>
          </w:p>
        </w:tc>
      </w:tr>
      <w:tr w:rsidR="00F51082" w:rsidRPr="00BC7081" w14:paraId="6189A62E" w14:textId="77777777" w:rsidTr="00F51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3395CA4B" w14:textId="1EBFCFD5" w:rsidR="00F51082" w:rsidRPr="00BC7081" w:rsidRDefault="00592ABF" w:rsidP="00592ABF">
            <w:pPr>
              <w:pStyle w:val="Heading2"/>
            </w:pPr>
            <w:r w:rsidRPr="00592ABF">
              <w:t>Bahrain</w:t>
            </w:r>
          </w:p>
        </w:tc>
        <w:tc>
          <w:tcPr>
            <w:tcW w:w="3625" w:type="dxa"/>
          </w:tcPr>
          <w:p w14:paraId="147E78CA" w14:textId="7F11B62C" w:rsidR="00F51082" w:rsidRPr="00BC7081" w:rsidRDefault="00592ABF" w:rsidP="00592ABF">
            <w:pPr>
              <w:spacing w:beforeLines="40" w:before="96"/>
            </w:pPr>
            <w:r w:rsidRPr="00592ABF">
              <w:t>Good</w:t>
            </w:r>
          </w:p>
        </w:tc>
        <w:tc>
          <w:tcPr>
            <w:tcW w:w="2524" w:type="dxa"/>
          </w:tcPr>
          <w:p w14:paraId="52EC932E" w14:textId="3ACE970E" w:rsidR="00F51082" w:rsidRPr="00BC7081" w:rsidRDefault="00592ABF" w:rsidP="00592ABF">
            <w:pPr>
              <w:spacing w:beforeLines="40" w:before="96"/>
            </w:pPr>
            <w:r w:rsidRPr="00592ABF">
              <w:t>Conditional</w:t>
            </w:r>
          </w:p>
        </w:tc>
        <w:tc>
          <w:tcPr>
            <w:tcW w:w="3003" w:type="dxa"/>
          </w:tcPr>
          <w:p w14:paraId="58D73595" w14:textId="29B6C47D" w:rsidR="00F51082" w:rsidRPr="00BC7081" w:rsidRDefault="00592ABF" w:rsidP="00592ABF">
            <w:pPr>
              <w:spacing w:beforeLines="40" w:before="96"/>
            </w:pPr>
            <w:r w:rsidRPr="00592ABF">
              <w:t>DR, analytics, backup</w:t>
            </w:r>
          </w:p>
        </w:tc>
      </w:tr>
      <w:tr w:rsidR="00592ABF" w:rsidRPr="00BC7081" w14:paraId="454B0CCD" w14:textId="77777777" w:rsidTr="00F51082">
        <w:trPr>
          <w:trHeight w:val="733"/>
        </w:trPr>
        <w:tc>
          <w:tcPr>
            <w:tcW w:w="4739" w:type="dxa"/>
          </w:tcPr>
          <w:p w14:paraId="78B92ABE" w14:textId="50D7DFE3" w:rsidR="00592ABF" w:rsidRPr="00BC7081" w:rsidRDefault="00592ABF" w:rsidP="00592ABF">
            <w:pPr>
              <w:pStyle w:val="Heading2"/>
            </w:pPr>
            <w:r w:rsidRPr="00592ABF">
              <w:t>Other GCC</w:t>
            </w:r>
          </w:p>
        </w:tc>
        <w:tc>
          <w:tcPr>
            <w:tcW w:w="3625" w:type="dxa"/>
          </w:tcPr>
          <w:p w14:paraId="72A9BAC6" w14:textId="38825EAB" w:rsidR="00592ABF" w:rsidRPr="00BC7081" w:rsidRDefault="00592ABF" w:rsidP="00592ABF">
            <w:pPr>
              <w:spacing w:beforeLines="40" w:before="96"/>
            </w:pPr>
            <w:r w:rsidRPr="00592ABF">
              <w:t>Variable</w:t>
            </w:r>
          </w:p>
        </w:tc>
        <w:tc>
          <w:tcPr>
            <w:tcW w:w="2524" w:type="dxa"/>
          </w:tcPr>
          <w:p w14:paraId="746F3297" w14:textId="03B71B9F" w:rsidR="00592ABF" w:rsidRPr="00BC7081" w:rsidRDefault="00592ABF" w:rsidP="00592ABF">
            <w:pPr>
              <w:spacing w:beforeLines="40" w:before="96"/>
            </w:pPr>
            <w:r w:rsidRPr="00592ABF">
              <w:t>Limited</w:t>
            </w:r>
          </w:p>
        </w:tc>
        <w:tc>
          <w:tcPr>
            <w:tcW w:w="3003" w:type="dxa"/>
          </w:tcPr>
          <w:p w14:paraId="68F4C403" w14:textId="7ABABBC2" w:rsidR="00592ABF" w:rsidRPr="00BC7081" w:rsidRDefault="00592ABF" w:rsidP="00592ABF">
            <w:pPr>
              <w:spacing w:beforeLines="40" w:before="96"/>
            </w:pPr>
            <w:r w:rsidRPr="00592ABF">
              <w:t>Non-sensitive workloads</w:t>
            </w:r>
          </w:p>
        </w:tc>
      </w:tr>
      <w:tr w:rsidR="00592ABF" w:rsidRPr="00BC7081" w14:paraId="44160D31" w14:textId="77777777" w:rsidTr="00F51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tcW w:w="4739" w:type="dxa"/>
          </w:tcPr>
          <w:p w14:paraId="6B36E1B9" w14:textId="788D3194" w:rsidR="00592ABF" w:rsidRPr="00BC7081" w:rsidRDefault="00592ABF" w:rsidP="00592ABF">
            <w:pPr>
              <w:pStyle w:val="Heading2"/>
            </w:pPr>
            <w:r w:rsidRPr="00F51082">
              <w:t>Non-Regional (EU/US)</w:t>
            </w:r>
          </w:p>
        </w:tc>
        <w:tc>
          <w:tcPr>
            <w:tcW w:w="3625" w:type="dxa"/>
          </w:tcPr>
          <w:p w14:paraId="337E5A76" w14:textId="27BA0D4B" w:rsidR="00592ABF" w:rsidRPr="00BC7081" w:rsidRDefault="00592ABF" w:rsidP="00592ABF">
            <w:pPr>
              <w:spacing w:beforeLines="40" w:before="96"/>
            </w:pPr>
            <w:r>
              <w:t>_</w:t>
            </w:r>
          </w:p>
        </w:tc>
        <w:tc>
          <w:tcPr>
            <w:tcW w:w="2524" w:type="dxa"/>
          </w:tcPr>
          <w:p w14:paraId="11613C35" w14:textId="279CBEB4" w:rsidR="00592ABF" w:rsidRPr="00BC7081" w:rsidRDefault="00592ABF" w:rsidP="00592ABF">
            <w:pPr>
              <w:spacing w:beforeLines="40" w:before="96"/>
            </w:pPr>
            <w:r>
              <w:t>_</w:t>
            </w:r>
          </w:p>
        </w:tc>
        <w:tc>
          <w:tcPr>
            <w:tcW w:w="3003" w:type="dxa"/>
          </w:tcPr>
          <w:p w14:paraId="5A4F80D7" w14:textId="434CCBAB" w:rsidR="00592ABF" w:rsidRPr="00BC7081" w:rsidRDefault="00592ABF" w:rsidP="00592ABF">
            <w:pPr>
              <w:spacing w:beforeLines="40" w:before="96"/>
            </w:pPr>
            <w:r>
              <w:t>_</w:t>
            </w:r>
          </w:p>
        </w:tc>
      </w:tr>
      <w:tr w:rsidR="00592ABF" w:rsidRPr="00BC7081" w14:paraId="2B812404" w14:textId="77777777" w:rsidTr="00F51082">
        <w:trPr>
          <w:trHeight w:val="733"/>
        </w:trPr>
        <w:tc>
          <w:tcPr>
            <w:tcW w:w="4739" w:type="dxa"/>
          </w:tcPr>
          <w:p w14:paraId="4C19DF51" w14:textId="33C0CC28" w:rsidR="00592ABF" w:rsidRPr="00F51082" w:rsidRDefault="00592ABF" w:rsidP="00592ABF">
            <w:pPr>
              <w:pStyle w:val="Heading2"/>
              <w:rPr>
                <w:b w:val="0"/>
                <w:sz w:val="20"/>
                <w:szCs w:val="20"/>
              </w:rPr>
            </w:pPr>
            <w:r w:rsidRPr="00592ABF">
              <w:rPr>
                <w:b w:val="0"/>
                <w:bCs/>
                <w:sz w:val="20"/>
                <w:szCs w:val="20"/>
              </w:rPr>
              <w:t>Key Insight:</w:t>
            </w:r>
            <w:r w:rsidRPr="00592ABF">
              <w:rPr>
                <w:b w:val="0"/>
                <w:sz w:val="20"/>
                <w:szCs w:val="20"/>
              </w:rPr>
              <w:br/>
            </w:r>
            <w:r w:rsidRPr="00592ABF">
              <w:rPr>
                <w:b w:val="0"/>
                <w:sz w:val="16"/>
                <w:szCs w:val="16"/>
              </w:rPr>
              <w:t>Saudi Arabia should anchor production; GCC regions extend resilience.</w:t>
            </w:r>
          </w:p>
        </w:tc>
        <w:tc>
          <w:tcPr>
            <w:tcW w:w="3625" w:type="dxa"/>
          </w:tcPr>
          <w:p w14:paraId="17990F41" w14:textId="77777777" w:rsidR="00592ABF" w:rsidRPr="00BC7081" w:rsidRDefault="00592ABF" w:rsidP="00592ABF">
            <w:pPr>
              <w:spacing w:beforeLines="40" w:before="96"/>
            </w:pPr>
          </w:p>
        </w:tc>
        <w:tc>
          <w:tcPr>
            <w:tcW w:w="2524" w:type="dxa"/>
          </w:tcPr>
          <w:p w14:paraId="65EAE882" w14:textId="77777777" w:rsidR="00592ABF" w:rsidRPr="00BC7081" w:rsidRDefault="00592ABF" w:rsidP="00592ABF">
            <w:pPr>
              <w:spacing w:beforeLines="40" w:before="96"/>
            </w:pPr>
          </w:p>
        </w:tc>
        <w:tc>
          <w:tcPr>
            <w:tcW w:w="3003" w:type="dxa"/>
          </w:tcPr>
          <w:p w14:paraId="7FE6B065" w14:textId="77777777" w:rsidR="00592ABF" w:rsidRPr="00BC7081" w:rsidRDefault="00592ABF" w:rsidP="00592ABF">
            <w:pPr>
              <w:spacing w:beforeLines="40" w:before="96"/>
            </w:pPr>
          </w:p>
        </w:tc>
      </w:tr>
    </w:tbl>
    <w:p w14:paraId="144F6940" w14:textId="77777777" w:rsidR="001A73CA" w:rsidRPr="00BC7081" w:rsidRDefault="001A73CA" w:rsidP="001A73CA"/>
    <w:sectPr w:rsidR="001A73CA" w:rsidRPr="00BC7081" w:rsidSect="00F51082">
      <w:footerReference w:type="default" r:id="rId11"/>
      <w:footerReference w:type="first" r:id="rId12"/>
      <w:pgSz w:w="16838" w:h="11906" w:orient="landscape" w:code="9"/>
      <w:pgMar w:top="432" w:right="1440" w:bottom="432" w:left="1440" w:header="576" w:footer="1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98DB" w14:textId="77777777" w:rsidR="00AF1218" w:rsidRDefault="00AF1218" w:rsidP="0068194B">
      <w:r>
        <w:separator/>
      </w:r>
    </w:p>
    <w:p w14:paraId="7E19EBC9" w14:textId="77777777" w:rsidR="00AF1218" w:rsidRDefault="00AF1218"/>
    <w:p w14:paraId="4377833E" w14:textId="77777777" w:rsidR="00AF1218" w:rsidRDefault="00AF1218"/>
  </w:endnote>
  <w:endnote w:type="continuationSeparator" w:id="0">
    <w:p w14:paraId="2CD1330C" w14:textId="77777777" w:rsidR="00AF1218" w:rsidRDefault="00AF1218" w:rsidP="0068194B">
      <w:r>
        <w:continuationSeparator/>
      </w:r>
    </w:p>
    <w:p w14:paraId="70A00C14" w14:textId="77777777" w:rsidR="00AF1218" w:rsidRDefault="00AF1218"/>
    <w:p w14:paraId="46FC485C" w14:textId="77777777" w:rsidR="00AF1218" w:rsidRDefault="00AF1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24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A8D36" w14:textId="77777777" w:rsidR="002B2958" w:rsidRDefault="002B2958">
        <w:pPr>
          <w:pStyle w:val="Footer"/>
        </w:pPr>
        <w:r>
          <w:rPr>
            <w:lang w:bidi="en-GB"/>
          </w:rPr>
          <w:fldChar w:fldCharType="begin"/>
        </w:r>
        <w:r>
          <w:rPr>
            <w:lang w:bidi="en-GB"/>
          </w:rPr>
          <w:instrText xml:space="preserve"> PAGE   \* MERGEFORMAT </w:instrText>
        </w:r>
        <w:r>
          <w:rPr>
            <w:lang w:bidi="en-GB"/>
          </w:rPr>
          <w:fldChar w:fldCharType="separate"/>
        </w:r>
        <w:r w:rsidR="002A1945">
          <w:rPr>
            <w:noProof/>
            <w:lang w:bidi="en-GB"/>
          </w:rPr>
          <w:t>2</w:t>
        </w:r>
        <w:r>
          <w:rPr>
            <w:noProof/>
            <w:lang w:bidi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6434" w14:textId="06EE98AA" w:rsidR="00F51082" w:rsidRDefault="00F5108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635F78" wp14:editId="10DA00AA">
          <wp:simplePos x="0" y="0"/>
          <wp:positionH relativeFrom="margin">
            <wp:align>left</wp:align>
          </wp:positionH>
          <wp:positionV relativeFrom="paragraph">
            <wp:posOffset>-25400</wp:posOffset>
          </wp:positionV>
          <wp:extent cx="3905250" cy="800100"/>
          <wp:effectExtent l="0" t="0" r="0" b="0"/>
          <wp:wrapNone/>
          <wp:docPr id="110951787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17877" name="Graphic 110951787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414899" wp14:editId="788AD5C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0DC01" w14:textId="5D1C5283" w:rsidR="00F51082" w:rsidRDefault="00F51082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D824C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F51082">
                                  <w:rPr>
                                    <w:caps/>
                                    <w:color w:val="1D824C" w:themeColor="accent1"/>
                                    <w:sz w:val="20"/>
                                    <w:szCs w:val="20"/>
                                  </w:rPr>
                                  <w:t>Published by: K® (Kenzie) of SAUDI GULF HOSTiNG, All rights Reserved.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270B01" w:rsidRPr="00270B0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Typical Latency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414899" id="Group 17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080DC01" w14:textId="5D1C5283" w:rsidR="00F51082" w:rsidRDefault="00F51082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D824C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F51082">
                            <w:rPr>
                              <w:caps/>
                              <w:color w:val="1D824C" w:themeColor="accent1"/>
                              <w:sz w:val="20"/>
                              <w:szCs w:val="20"/>
                            </w:rPr>
                            <w:t>Published by: K® (Kenzie) of SAUDI GULF HOSTiNG, All rights Reserved.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270B01" w:rsidRPr="00270B0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Typical Latency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0D8C" w14:textId="77777777" w:rsidR="00AF1218" w:rsidRDefault="00AF1218" w:rsidP="0068194B">
      <w:r>
        <w:separator/>
      </w:r>
    </w:p>
    <w:p w14:paraId="62FB871A" w14:textId="77777777" w:rsidR="00AF1218" w:rsidRDefault="00AF1218"/>
    <w:p w14:paraId="667AE914" w14:textId="77777777" w:rsidR="00AF1218" w:rsidRDefault="00AF1218"/>
  </w:footnote>
  <w:footnote w:type="continuationSeparator" w:id="0">
    <w:p w14:paraId="58184640" w14:textId="77777777" w:rsidR="00AF1218" w:rsidRDefault="00AF1218" w:rsidP="0068194B">
      <w:r>
        <w:continuationSeparator/>
      </w:r>
    </w:p>
    <w:p w14:paraId="364BFA5D" w14:textId="77777777" w:rsidR="00AF1218" w:rsidRDefault="00AF1218"/>
    <w:p w14:paraId="1BD097F5" w14:textId="77777777" w:rsidR="00AF1218" w:rsidRDefault="00AF12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CF824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55261124">
    <w:abstractNumId w:val="9"/>
  </w:num>
  <w:num w:numId="2" w16cid:durableId="1184707990">
    <w:abstractNumId w:val="8"/>
  </w:num>
  <w:num w:numId="3" w16cid:durableId="27610671">
    <w:abstractNumId w:val="7"/>
  </w:num>
  <w:num w:numId="4" w16cid:durableId="1135484308">
    <w:abstractNumId w:val="6"/>
  </w:num>
  <w:num w:numId="5" w16cid:durableId="1980261106">
    <w:abstractNumId w:val="10"/>
  </w:num>
  <w:num w:numId="6" w16cid:durableId="1823539845">
    <w:abstractNumId w:val="3"/>
  </w:num>
  <w:num w:numId="7" w16cid:durableId="1080710469">
    <w:abstractNumId w:val="11"/>
  </w:num>
  <w:num w:numId="8" w16cid:durableId="2075665525">
    <w:abstractNumId w:val="2"/>
  </w:num>
  <w:num w:numId="9" w16cid:durableId="321353905">
    <w:abstractNumId w:val="12"/>
  </w:num>
  <w:num w:numId="10" w16cid:durableId="349335611">
    <w:abstractNumId w:val="5"/>
  </w:num>
  <w:num w:numId="11" w16cid:durableId="307252447">
    <w:abstractNumId w:val="4"/>
  </w:num>
  <w:num w:numId="12" w16cid:durableId="1917084883">
    <w:abstractNumId w:val="1"/>
  </w:num>
  <w:num w:numId="13" w16cid:durableId="61829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82"/>
    <w:rsid w:val="000001EF"/>
    <w:rsid w:val="00007322"/>
    <w:rsid w:val="00007728"/>
    <w:rsid w:val="00024584"/>
    <w:rsid w:val="00024730"/>
    <w:rsid w:val="000419E3"/>
    <w:rsid w:val="0005254B"/>
    <w:rsid w:val="00055E95"/>
    <w:rsid w:val="0007021F"/>
    <w:rsid w:val="0008721E"/>
    <w:rsid w:val="000A06E2"/>
    <w:rsid w:val="000A21DF"/>
    <w:rsid w:val="000B2BA5"/>
    <w:rsid w:val="000C0DB0"/>
    <w:rsid w:val="000F2F8C"/>
    <w:rsid w:val="0010006E"/>
    <w:rsid w:val="001045A8"/>
    <w:rsid w:val="00114A91"/>
    <w:rsid w:val="001427E1"/>
    <w:rsid w:val="00163668"/>
    <w:rsid w:val="0017049D"/>
    <w:rsid w:val="00171566"/>
    <w:rsid w:val="00174676"/>
    <w:rsid w:val="001755A8"/>
    <w:rsid w:val="00184014"/>
    <w:rsid w:val="00192008"/>
    <w:rsid w:val="001A73CA"/>
    <w:rsid w:val="001B55CC"/>
    <w:rsid w:val="001C0E68"/>
    <w:rsid w:val="001C4B6F"/>
    <w:rsid w:val="001D0BF1"/>
    <w:rsid w:val="001E3120"/>
    <w:rsid w:val="001E7E0C"/>
    <w:rsid w:val="001F0BB0"/>
    <w:rsid w:val="001F4E6D"/>
    <w:rsid w:val="001F5CE5"/>
    <w:rsid w:val="001F6140"/>
    <w:rsid w:val="00203573"/>
    <w:rsid w:val="0020597D"/>
    <w:rsid w:val="00213B4C"/>
    <w:rsid w:val="002253B0"/>
    <w:rsid w:val="002278EF"/>
    <w:rsid w:val="002314A3"/>
    <w:rsid w:val="00231948"/>
    <w:rsid w:val="00236D54"/>
    <w:rsid w:val="00241D8C"/>
    <w:rsid w:val="00241FDB"/>
    <w:rsid w:val="0024720C"/>
    <w:rsid w:val="00253360"/>
    <w:rsid w:val="002617AE"/>
    <w:rsid w:val="002638D0"/>
    <w:rsid w:val="002647D3"/>
    <w:rsid w:val="00270B01"/>
    <w:rsid w:val="00275EAE"/>
    <w:rsid w:val="00294998"/>
    <w:rsid w:val="00297F18"/>
    <w:rsid w:val="002A1945"/>
    <w:rsid w:val="002B2958"/>
    <w:rsid w:val="002B3402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2D60"/>
    <w:rsid w:val="00366398"/>
    <w:rsid w:val="00387B99"/>
    <w:rsid w:val="003A0632"/>
    <w:rsid w:val="003A30E5"/>
    <w:rsid w:val="003A6ADF"/>
    <w:rsid w:val="003B5928"/>
    <w:rsid w:val="003C5720"/>
    <w:rsid w:val="003D380F"/>
    <w:rsid w:val="003E160D"/>
    <w:rsid w:val="003F1D5F"/>
    <w:rsid w:val="003F4BF9"/>
    <w:rsid w:val="00405128"/>
    <w:rsid w:val="00406CFF"/>
    <w:rsid w:val="00416B25"/>
    <w:rsid w:val="00420592"/>
    <w:rsid w:val="004319E0"/>
    <w:rsid w:val="00437E8C"/>
    <w:rsid w:val="00440225"/>
    <w:rsid w:val="00451478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76439"/>
    <w:rsid w:val="00592ABF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3387"/>
    <w:rsid w:val="00605675"/>
    <w:rsid w:val="0061519F"/>
    <w:rsid w:val="006171E9"/>
    <w:rsid w:val="0062312F"/>
    <w:rsid w:val="00625F2C"/>
    <w:rsid w:val="006618E9"/>
    <w:rsid w:val="00680B7A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2E95"/>
    <w:rsid w:val="007A3907"/>
    <w:rsid w:val="007A5AB6"/>
    <w:rsid w:val="007C0566"/>
    <w:rsid w:val="007C606B"/>
    <w:rsid w:val="007E6A61"/>
    <w:rsid w:val="007F2B05"/>
    <w:rsid w:val="00801140"/>
    <w:rsid w:val="00803404"/>
    <w:rsid w:val="00834955"/>
    <w:rsid w:val="00840F90"/>
    <w:rsid w:val="00855B59"/>
    <w:rsid w:val="00860461"/>
    <w:rsid w:val="0086487C"/>
    <w:rsid w:val="00870B20"/>
    <w:rsid w:val="008829F8"/>
    <w:rsid w:val="00885897"/>
    <w:rsid w:val="008A38E7"/>
    <w:rsid w:val="008A6538"/>
    <w:rsid w:val="008B6020"/>
    <w:rsid w:val="008C7056"/>
    <w:rsid w:val="008E3029"/>
    <w:rsid w:val="008F3B14"/>
    <w:rsid w:val="008F5241"/>
    <w:rsid w:val="008F794B"/>
    <w:rsid w:val="00901899"/>
    <w:rsid w:val="0090344B"/>
    <w:rsid w:val="00905715"/>
    <w:rsid w:val="009106DF"/>
    <w:rsid w:val="0091321E"/>
    <w:rsid w:val="00913946"/>
    <w:rsid w:val="00917347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1218"/>
    <w:rsid w:val="00AF7C5C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6EC5"/>
    <w:rsid w:val="00BC7081"/>
    <w:rsid w:val="00BD431F"/>
    <w:rsid w:val="00BE423E"/>
    <w:rsid w:val="00BE799C"/>
    <w:rsid w:val="00BF61AC"/>
    <w:rsid w:val="00C47FA6"/>
    <w:rsid w:val="00C57FC6"/>
    <w:rsid w:val="00C66A7D"/>
    <w:rsid w:val="00C779DA"/>
    <w:rsid w:val="00C814F7"/>
    <w:rsid w:val="00CA4B4D"/>
    <w:rsid w:val="00CB35C3"/>
    <w:rsid w:val="00CD0DB8"/>
    <w:rsid w:val="00CD323D"/>
    <w:rsid w:val="00CE4030"/>
    <w:rsid w:val="00CE63AB"/>
    <w:rsid w:val="00CE64B3"/>
    <w:rsid w:val="00CF1A49"/>
    <w:rsid w:val="00D02059"/>
    <w:rsid w:val="00D05CA4"/>
    <w:rsid w:val="00D0630C"/>
    <w:rsid w:val="00D243A9"/>
    <w:rsid w:val="00D27D9F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95B"/>
    <w:rsid w:val="00DB7E1E"/>
    <w:rsid w:val="00DC1B78"/>
    <w:rsid w:val="00DC2A2F"/>
    <w:rsid w:val="00DC3FEB"/>
    <w:rsid w:val="00DC600B"/>
    <w:rsid w:val="00DE0FAA"/>
    <w:rsid w:val="00DE136D"/>
    <w:rsid w:val="00DE6534"/>
    <w:rsid w:val="00DF4D6C"/>
    <w:rsid w:val="00E00066"/>
    <w:rsid w:val="00E01923"/>
    <w:rsid w:val="00E14498"/>
    <w:rsid w:val="00E20476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4999"/>
    <w:rsid w:val="00E9528E"/>
    <w:rsid w:val="00EA5099"/>
    <w:rsid w:val="00EC1351"/>
    <w:rsid w:val="00EC4CBF"/>
    <w:rsid w:val="00ED137E"/>
    <w:rsid w:val="00EE2587"/>
    <w:rsid w:val="00EE2CA8"/>
    <w:rsid w:val="00EF17E8"/>
    <w:rsid w:val="00EF51D9"/>
    <w:rsid w:val="00F130DD"/>
    <w:rsid w:val="00F24884"/>
    <w:rsid w:val="00F476C4"/>
    <w:rsid w:val="00F51082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2C77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B83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uiPriority="10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95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D05CA4"/>
    <w:pPr>
      <w:keepNext/>
      <w:keepLines/>
      <w:spacing w:after="100"/>
      <w:contextualSpacing/>
      <w:outlineLvl w:val="0"/>
    </w:pPr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05CA4"/>
    <w:pPr>
      <w:spacing w:before="60" w:after="40"/>
      <w:contextualSpacing/>
      <w:jc w:val="left"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paragraph" w:styleId="Heading3">
    <w:name w:val="heading 3"/>
    <w:basedOn w:val="Normal"/>
    <w:link w:val="Heading3Char"/>
    <w:uiPriority w:val="9"/>
    <w:semiHidden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231948"/>
    <w:pPr>
      <w:pBdr>
        <w:bottom w:val="single" w:sz="12" w:space="24" w:color="D1D1D1" w:themeColor="background2" w:themeShade="E6"/>
      </w:pBdr>
      <w:spacing w:after="480"/>
      <w:contextualSpacing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31948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semiHidden/>
    <w:rsid w:val="00757803"/>
  </w:style>
  <w:style w:type="character" w:customStyle="1" w:styleId="HeaderChar">
    <w:name w:val="Header Char"/>
    <w:basedOn w:val="DefaultParagraphFont"/>
    <w:link w:val="Header"/>
    <w:uiPriority w:val="99"/>
    <w:semiHidden/>
    <w:rsid w:val="007A2E95"/>
  </w:style>
  <w:style w:type="paragraph" w:styleId="Footer">
    <w:name w:val="footer"/>
    <w:basedOn w:val="Normal"/>
    <w:link w:val="FooterChar"/>
    <w:uiPriority w:val="99"/>
    <w:rsid w:val="009F220C"/>
  </w:style>
  <w:style w:type="character" w:customStyle="1" w:styleId="FooterChar">
    <w:name w:val="Footer Char"/>
    <w:basedOn w:val="DefaultParagraphFont"/>
    <w:link w:val="Footer"/>
    <w:uiPriority w:val="99"/>
    <w:rsid w:val="007A2E95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D05CA4"/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5CA4"/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95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semiHidden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semiHidden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semiHidden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95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qFormat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5CA4"/>
    <w:tblPr>
      <w:tblStyleRowBandSize w:val="1"/>
      <w:tblStyleColBandSize w:val="1"/>
      <w:tblBorders>
        <w:insideV w:val="single" w:sz="18" w:space="0" w:color="D1D1D1" w:themeColor="background2" w:themeShade="E6"/>
      </w:tblBorders>
    </w:tbl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Introduction">
    <w:name w:val="Introduction"/>
    <w:basedOn w:val="Normal"/>
    <w:uiPriority w:val="4"/>
    <w:qFormat/>
    <w:rsid w:val="00D05CA4"/>
    <w:pPr>
      <w:spacing w:after="240"/>
      <w:jc w:val="left"/>
    </w:pPr>
    <w:rPr>
      <w:color w:val="1D824C" w:themeColor="accent1"/>
    </w:rPr>
  </w:style>
  <w:style w:type="character" w:styleId="Strong">
    <w:name w:val="Strong"/>
    <w:basedOn w:val="DefaultParagraphFont"/>
    <w:uiPriority w:val="22"/>
    <w:qFormat/>
    <w:rsid w:val="00F51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Delta\AppData\Roaming\Microsoft\Templates\STAR%20Technique%20job%20interview%20preparation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CFFC-2FA8-4C40-903D-7537B52CF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01DB0-F083-42B6-B884-2831002F10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76C1F0B-E197-416C-874B-928E7865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3C335-EDCF-4A72-9D14-4B89AAD4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 Technique job interview preparation</Template>
  <TotalTime>0</TotalTime>
  <Pages>1</Pages>
  <Words>93</Words>
  <Characters>465</Characters>
  <Application>Microsoft Office Word</Application>
  <DocSecurity>0</DocSecurity>
  <Lines>77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by: K® (Kenzie) of SAUDI GULF HOSTiNG, All rights Reserved.</dc:title>
  <dc:subject>Typical Latency</dc:subject>
  <dc:creator/>
  <cp:keywords/>
  <dc:description/>
  <cp:lastModifiedBy/>
  <cp:revision>1</cp:revision>
  <dcterms:created xsi:type="dcterms:W3CDTF">2025-12-21T22:40:00Z</dcterms:created>
  <dcterms:modified xsi:type="dcterms:W3CDTF">2025-12-21T22:40:00Z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