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51F6" w14:textId="77777777" w:rsidR="00F51082" w:rsidRDefault="00F51082" w:rsidP="00F51082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40"/>
          <w:szCs w:val="40"/>
        </w:rPr>
      </w:pPr>
      <w:r w:rsidRPr="00F51082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40"/>
          <w:szCs w:val="40"/>
        </w:rPr>
        <w:t>Table 1</w:t>
      </w:r>
      <w:r w:rsidRPr="00F51082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40"/>
          <w:szCs w:val="40"/>
        </w:rPr>
        <w:t xml:space="preserve">: </w:t>
      </w:r>
      <w:r w:rsidRPr="00F51082"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40"/>
          <w:szCs w:val="40"/>
        </w:rPr>
        <w:t>Typical Latency Characteristics by Cloud Region</w:t>
      </w:r>
    </w:p>
    <w:p w14:paraId="15D6A5A2" w14:textId="370665EA" w:rsidR="001A73CA" w:rsidRPr="00F51082" w:rsidRDefault="00F51082" w:rsidP="00F51082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</w:pPr>
      <w:r w:rsidRPr="00F51082">
        <w:rPr>
          <w:b/>
          <w:bCs/>
        </w:rPr>
        <w:t>Insert location:</w:t>
      </w:r>
      <w:r w:rsidRPr="00F51082">
        <w:br/>
        <w:t xml:space="preserve">After </w:t>
      </w:r>
      <w:r w:rsidRPr="00F51082">
        <w:rPr>
          <w:i/>
          <w:iCs/>
        </w:rPr>
        <w:t>“Real-World Latency Benchmarks in the GCC”</w:t>
      </w:r>
    </w:p>
    <w:tbl>
      <w:tblPr>
        <w:tblStyle w:val="PlainTable4"/>
        <w:tblW w:w="4976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4739"/>
        <w:gridCol w:w="3625"/>
        <w:gridCol w:w="2524"/>
        <w:gridCol w:w="3003"/>
      </w:tblGrid>
      <w:tr w:rsidR="00F51082" w:rsidRPr="00BC7081" w14:paraId="2794AD0C" w14:textId="77777777" w:rsidTr="00F51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tcW w:w="4739" w:type="dxa"/>
          </w:tcPr>
          <w:p w14:paraId="669CF7FE" w14:textId="2FA39040" w:rsidR="00F51082" w:rsidRPr="00F51082" w:rsidRDefault="00F51082" w:rsidP="00F51082">
            <w:pPr>
              <w:pStyle w:val="Title"/>
              <w:rPr>
                <w:b/>
                <w:bCs w:val="0"/>
                <w:sz w:val="21"/>
                <w:szCs w:val="21"/>
              </w:rPr>
            </w:pPr>
            <w:r w:rsidRPr="00F51082">
              <w:rPr>
                <w:b/>
                <w:bCs w:val="0"/>
                <w:sz w:val="21"/>
                <w:szCs w:val="21"/>
              </w:rPr>
              <w:t>Cloud Region</w:t>
            </w:r>
          </w:p>
        </w:tc>
        <w:tc>
          <w:tcPr>
            <w:tcW w:w="3625" w:type="dxa"/>
          </w:tcPr>
          <w:p w14:paraId="4860B5A5" w14:textId="795190E6" w:rsidR="00F51082" w:rsidRPr="00BC7081" w:rsidRDefault="00F51082" w:rsidP="00F51082">
            <w:pPr>
              <w:pStyle w:val="Heading1"/>
            </w:pPr>
            <w:r w:rsidRPr="00F51082">
              <w:t>Typical Latency to Saudi Users</w:t>
            </w:r>
          </w:p>
        </w:tc>
        <w:tc>
          <w:tcPr>
            <w:tcW w:w="2524" w:type="dxa"/>
          </w:tcPr>
          <w:p w14:paraId="525195E2" w14:textId="249FDF90" w:rsidR="00F51082" w:rsidRPr="00BC7081" w:rsidRDefault="00F51082" w:rsidP="00F51082">
            <w:pPr>
              <w:pStyle w:val="Heading1"/>
            </w:pPr>
            <w:r w:rsidRPr="00F51082">
              <w:t>Stability Under Peak Load</w:t>
            </w:r>
          </w:p>
        </w:tc>
        <w:tc>
          <w:tcPr>
            <w:tcW w:w="3003" w:type="dxa"/>
          </w:tcPr>
          <w:p w14:paraId="1EEFF33E" w14:textId="093208E7" w:rsidR="00F51082" w:rsidRPr="00BC7081" w:rsidRDefault="00F51082" w:rsidP="00F51082">
            <w:pPr>
              <w:pStyle w:val="Heading1"/>
              <w:tabs>
                <w:tab w:val="left" w:pos="780"/>
                <w:tab w:val="center" w:pos="1260"/>
              </w:tabs>
              <w:jc w:val="left"/>
              <w:rPr>
                <w:rFonts w:asciiTheme="minorHAnsi" w:eastAsiaTheme="minorHAnsi" w:hAnsiTheme="minorHAnsi" w:cstheme="minorBidi"/>
                <w:color w:val="595959" w:themeColor="text1" w:themeTint="A6"/>
                <w:szCs w:val="22"/>
              </w:rPr>
            </w:pPr>
            <w:r w:rsidRPr="00F51082">
              <w:t>Regulatory Suitability for Saudi Workloads</w:t>
            </w:r>
          </w:p>
          <w:p w14:paraId="765359D4" w14:textId="31C2F450" w:rsidR="00F51082" w:rsidRPr="00BC7081" w:rsidRDefault="00F51082" w:rsidP="00231948"/>
        </w:tc>
      </w:tr>
      <w:tr w:rsidR="00F51082" w:rsidRPr="00BC7081" w14:paraId="545C8D32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0DBF643A" w14:textId="766DB66B" w:rsidR="00F51082" w:rsidRPr="00BC7081" w:rsidRDefault="00F51082" w:rsidP="00F51082">
            <w:pPr>
              <w:pStyle w:val="Heading2"/>
            </w:pPr>
            <w:r w:rsidRPr="00F51082">
              <w:t>Saudi Arabia (In-Kingdom)</w:t>
            </w:r>
          </w:p>
        </w:tc>
        <w:tc>
          <w:tcPr>
            <w:tcW w:w="3625" w:type="dxa"/>
          </w:tcPr>
          <w:p w14:paraId="0274C7C3" w14:textId="314A6B21" w:rsidR="00F51082" w:rsidRPr="00BC7081" w:rsidRDefault="00F51082" w:rsidP="00F51082">
            <w:pPr>
              <w:spacing w:beforeLines="40" w:before="96"/>
            </w:pPr>
            <w:r w:rsidRPr="00F51082">
              <w:t>Very Low</w:t>
            </w:r>
          </w:p>
        </w:tc>
        <w:tc>
          <w:tcPr>
            <w:tcW w:w="2524" w:type="dxa"/>
          </w:tcPr>
          <w:p w14:paraId="55202A47" w14:textId="4AD6588D" w:rsidR="00F51082" w:rsidRPr="00BC7081" w:rsidRDefault="00F51082" w:rsidP="00F51082">
            <w:pPr>
              <w:spacing w:beforeLines="40" w:before="96"/>
            </w:pPr>
            <w:r w:rsidRPr="00F51082">
              <w:t>Very High</w:t>
            </w:r>
          </w:p>
        </w:tc>
        <w:tc>
          <w:tcPr>
            <w:tcW w:w="3003" w:type="dxa"/>
          </w:tcPr>
          <w:p w14:paraId="4E02C69A" w14:textId="1BB15AF8" w:rsidR="00F51082" w:rsidRPr="00BC7081" w:rsidRDefault="00F51082" w:rsidP="00F51082">
            <w:pPr>
              <w:spacing w:beforeLines="40" w:before="96"/>
            </w:pPr>
            <w:r w:rsidRPr="00F51082">
              <w:t>Excellent</w:t>
            </w:r>
          </w:p>
        </w:tc>
      </w:tr>
      <w:tr w:rsidR="00F51082" w:rsidRPr="00BC7081" w14:paraId="6DA02419" w14:textId="77777777" w:rsidTr="00F51082">
        <w:trPr>
          <w:trHeight w:val="733"/>
        </w:trPr>
        <w:tc>
          <w:tcPr>
            <w:tcW w:w="4739" w:type="dxa"/>
          </w:tcPr>
          <w:p w14:paraId="7DA1A90D" w14:textId="627A0C52" w:rsidR="00F51082" w:rsidRPr="00BC7081" w:rsidRDefault="00F51082" w:rsidP="00F51082">
            <w:pPr>
              <w:pStyle w:val="Heading2"/>
            </w:pPr>
            <w:r w:rsidRPr="00F51082">
              <w:t>Nearby GCC Regions</w:t>
            </w:r>
          </w:p>
        </w:tc>
        <w:tc>
          <w:tcPr>
            <w:tcW w:w="3625" w:type="dxa"/>
          </w:tcPr>
          <w:p w14:paraId="3DDF5B86" w14:textId="315644A2" w:rsidR="00F51082" w:rsidRPr="00BC7081" w:rsidRDefault="00F51082" w:rsidP="00F51082">
            <w:pPr>
              <w:spacing w:beforeLines="40" w:before="96"/>
            </w:pPr>
            <w:r w:rsidRPr="00F51082">
              <w:t>Low</w:t>
            </w:r>
          </w:p>
        </w:tc>
        <w:tc>
          <w:tcPr>
            <w:tcW w:w="2524" w:type="dxa"/>
          </w:tcPr>
          <w:p w14:paraId="3CC6EAA3" w14:textId="0B66F548" w:rsidR="00F51082" w:rsidRPr="00BC7081" w:rsidRDefault="00F51082" w:rsidP="00F51082">
            <w:pPr>
              <w:spacing w:beforeLines="40" w:before="96"/>
            </w:pPr>
            <w:r w:rsidRPr="00F51082">
              <w:t>High (depends on routing)</w:t>
            </w:r>
          </w:p>
        </w:tc>
        <w:tc>
          <w:tcPr>
            <w:tcW w:w="3003" w:type="dxa"/>
          </w:tcPr>
          <w:p w14:paraId="36244994" w14:textId="160B935A" w:rsidR="00F51082" w:rsidRPr="00BC7081" w:rsidRDefault="00F51082" w:rsidP="00F51082">
            <w:pPr>
              <w:spacing w:beforeLines="40" w:before="96"/>
            </w:pPr>
            <w:r w:rsidRPr="00F51082">
              <w:t>Conditional</w:t>
            </w:r>
          </w:p>
        </w:tc>
      </w:tr>
      <w:tr w:rsidR="00F51082" w:rsidRPr="00BC7081" w14:paraId="6189A62E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3395CA4B" w14:textId="1C7C5A8C" w:rsidR="00F51082" w:rsidRPr="00BC7081" w:rsidRDefault="00F51082" w:rsidP="00F51082">
            <w:pPr>
              <w:pStyle w:val="Heading2"/>
            </w:pPr>
            <w:r w:rsidRPr="00F51082">
              <w:t>Nearby GCC Regions</w:t>
            </w:r>
          </w:p>
        </w:tc>
        <w:tc>
          <w:tcPr>
            <w:tcW w:w="3625" w:type="dxa"/>
          </w:tcPr>
          <w:p w14:paraId="147E78CA" w14:textId="6FA8E6EA" w:rsidR="00F51082" w:rsidRPr="00BC7081" w:rsidRDefault="00F51082" w:rsidP="00F51082">
            <w:pPr>
              <w:spacing w:beforeLines="40" w:before="96"/>
            </w:pPr>
            <w:r w:rsidRPr="00F51082">
              <w:t>Medium</w:t>
            </w:r>
          </w:p>
        </w:tc>
        <w:tc>
          <w:tcPr>
            <w:tcW w:w="2524" w:type="dxa"/>
          </w:tcPr>
          <w:p w14:paraId="52EC932E" w14:textId="12553DD0" w:rsidR="00F51082" w:rsidRPr="00BC7081" w:rsidRDefault="00F51082" w:rsidP="00F51082">
            <w:pPr>
              <w:spacing w:beforeLines="40" w:before="96"/>
            </w:pPr>
            <w:r w:rsidRPr="00F51082">
              <w:t>Medium</w:t>
            </w:r>
          </w:p>
        </w:tc>
        <w:tc>
          <w:tcPr>
            <w:tcW w:w="3003" w:type="dxa"/>
          </w:tcPr>
          <w:p w14:paraId="58D73595" w14:textId="7629E05C" w:rsidR="00F51082" w:rsidRPr="00BC7081" w:rsidRDefault="00F51082" w:rsidP="00F51082">
            <w:pPr>
              <w:spacing w:beforeLines="40" w:before="96"/>
            </w:pPr>
            <w:r w:rsidRPr="00F51082">
              <w:t>Limited</w:t>
            </w:r>
          </w:p>
        </w:tc>
      </w:tr>
      <w:tr w:rsidR="00F51082" w:rsidRPr="00BC7081" w14:paraId="454B0CCD" w14:textId="77777777" w:rsidTr="00F51082">
        <w:trPr>
          <w:trHeight w:val="733"/>
        </w:trPr>
        <w:tc>
          <w:tcPr>
            <w:tcW w:w="4739" w:type="dxa"/>
          </w:tcPr>
          <w:p w14:paraId="78B92ABE" w14:textId="462E8FF9" w:rsidR="00F51082" w:rsidRPr="00BC7081" w:rsidRDefault="00F51082" w:rsidP="00F51082">
            <w:pPr>
              <w:pStyle w:val="Heading2"/>
            </w:pPr>
            <w:r w:rsidRPr="00F51082">
              <w:t>Wider GCC / MENA</w:t>
            </w:r>
          </w:p>
        </w:tc>
        <w:tc>
          <w:tcPr>
            <w:tcW w:w="3625" w:type="dxa"/>
          </w:tcPr>
          <w:p w14:paraId="72A9BAC6" w14:textId="5AB7E5EE" w:rsidR="00F51082" w:rsidRPr="00BC7081" w:rsidRDefault="00F51082" w:rsidP="00F51082">
            <w:pPr>
              <w:spacing w:beforeLines="40" w:before="96"/>
            </w:pPr>
            <w:r w:rsidRPr="00F51082">
              <w:t>Medium</w:t>
            </w:r>
          </w:p>
        </w:tc>
        <w:tc>
          <w:tcPr>
            <w:tcW w:w="2524" w:type="dxa"/>
          </w:tcPr>
          <w:p w14:paraId="746F3297" w14:textId="29E18605" w:rsidR="00F51082" w:rsidRPr="00BC7081" w:rsidRDefault="00F51082" w:rsidP="00F51082">
            <w:pPr>
              <w:spacing w:beforeLines="40" w:before="96"/>
            </w:pPr>
            <w:r w:rsidRPr="00F51082">
              <w:t>Medium</w:t>
            </w:r>
          </w:p>
        </w:tc>
        <w:tc>
          <w:tcPr>
            <w:tcW w:w="3003" w:type="dxa"/>
          </w:tcPr>
          <w:p w14:paraId="68F4C403" w14:textId="77777777" w:rsidR="00F51082" w:rsidRPr="00BC7081" w:rsidRDefault="00F51082" w:rsidP="008A45AF">
            <w:pPr>
              <w:spacing w:beforeLines="40" w:before="96"/>
            </w:pPr>
          </w:p>
        </w:tc>
      </w:tr>
      <w:tr w:rsidR="00F51082" w:rsidRPr="00BC7081" w14:paraId="44160D31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6B36E1B9" w14:textId="788D3194" w:rsidR="00F51082" w:rsidRPr="00BC7081" w:rsidRDefault="00F51082" w:rsidP="00F51082">
            <w:pPr>
              <w:pStyle w:val="Heading2"/>
            </w:pPr>
            <w:r w:rsidRPr="00F51082">
              <w:t>Non-Regional (EU/US)</w:t>
            </w:r>
          </w:p>
        </w:tc>
        <w:tc>
          <w:tcPr>
            <w:tcW w:w="3625" w:type="dxa"/>
          </w:tcPr>
          <w:p w14:paraId="337E5A76" w14:textId="0AE0CF17" w:rsidR="00F51082" w:rsidRPr="00BC7081" w:rsidRDefault="00F51082" w:rsidP="00F51082">
            <w:pPr>
              <w:spacing w:beforeLines="40" w:before="96"/>
            </w:pPr>
            <w:r w:rsidRPr="00F51082">
              <w:t>High</w:t>
            </w:r>
          </w:p>
        </w:tc>
        <w:tc>
          <w:tcPr>
            <w:tcW w:w="2524" w:type="dxa"/>
          </w:tcPr>
          <w:p w14:paraId="11613C35" w14:textId="1677FB2C" w:rsidR="00F51082" w:rsidRPr="00BC7081" w:rsidRDefault="00F51082" w:rsidP="00F51082">
            <w:pPr>
              <w:spacing w:beforeLines="40" w:before="96"/>
            </w:pPr>
            <w:r w:rsidRPr="00F51082">
              <w:t>Low to Medium</w:t>
            </w:r>
          </w:p>
        </w:tc>
        <w:tc>
          <w:tcPr>
            <w:tcW w:w="3003" w:type="dxa"/>
          </w:tcPr>
          <w:p w14:paraId="5A4F80D7" w14:textId="550BB0B9" w:rsidR="00F51082" w:rsidRPr="00BC7081" w:rsidRDefault="00F51082" w:rsidP="00F51082">
            <w:pPr>
              <w:spacing w:beforeLines="40" w:before="96"/>
            </w:pPr>
            <w:r w:rsidRPr="00F51082">
              <w:t>Poor for regulated workloads</w:t>
            </w:r>
          </w:p>
        </w:tc>
      </w:tr>
      <w:tr w:rsidR="00F51082" w:rsidRPr="00BC7081" w14:paraId="2B812404" w14:textId="77777777" w:rsidTr="00F51082">
        <w:trPr>
          <w:trHeight w:val="733"/>
        </w:trPr>
        <w:tc>
          <w:tcPr>
            <w:tcW w:w="4739" w:type="dxa"/>
          </w:tcPr>
          <w:p w14:paraId="4C19DF51" w14:textId="6BBB4C13" w:rsidR="00F51082" w:rsidRPr="00F51082" w:rsidRDefault="00F51082" w:rsidP="00F51082">
            <w:pPr>
              <w:pStyle w:val="Heading2"/>
              <w:rPr>
                <w:b w:val="0"/>
                <w:sz w:val="20"/>
                <w:szCs w:val="20"/>
              </w:rPr>
            </w:pPr>
            <w:r w:rsidRPr="00F51082">
              <w:rPr>
                <w:b w:val="0"/>
                <w:sz w:val="20"/>
                <w:szCs w:val="20"/>
              </w:rPr>
              <w:t>Key Insight:</w:t>
            </w:r>
            <w:r w:rsidRPr="00F51082">
              <w:rPr>
                <w:b w:val="0"/>
                <w:sz w:val="20"/>
                <w:szCs w:val="20"/>
              </w:rPr>
              <w:br/>
              <w:t>Latency predictability matters more than absolute distance.</w:t>
            </w:r>
          </w:p>
        </w:tc>
        <w:tc>
          <w:tcPr>
            <w:tcW w:w="3625" w:type="dxa"/>
          </w:tcPr>
          <w:p w14:paraId="17990F41" w14:textId="77777777" w:rsidR="00F51082" w:rsidRPr="00BC7081" w:rsidRDefault="00F51082" w:rsidP="008A45AF">
            <w:pPr>
              <w:spacing w:beforeLines="40" w:before="96"/>
            </w:pPr>
          </w:p>
        </w:tc>
        <w:tc>
          <w:tcPr>
            <w:tcW w:w="2524" w:type="dxa"/>
          </w:tcPr>
          <w:p w14:paraId="65EAE882" w14:textId="77777777" w:rsidR="00F51082" w:rsidRPr="00BC7081" w:rsidRDefault="00F51082" w:rsidP="008A45AF">
            <w:pPr>
              <w:spacing w:beforeLines="40" w:before="96"/>
            </w:pPr>
          </w:p>
        </w:tc>
        <w:tc>
          <w:tcPr>
            <w:tcW w:w="3003" w:type="dxa"/>
          </w:tcPr>
          <w:p w14:paraId="7FE6B065" w14:textId="77777777" w:rsidR="00F51082" w:rsidRPr="00BC7081" w:rsidRDefault="00F51082" w:rsidP="008A45AF">
            <w:pPr>
              <w:spacing w:beforeLines="40" w:before="96"/>
            </w:pPr>
          </w:p>
        </w:tc>
      </w:tr>
    </w:tbl>
    <w:p w14:paraId="144F6940" w14:textId="77777777" w:rsidR="001A73CA" w:rsidRPr="00BC7081" w:rsidRDefault="001A73CA" w:rsidP="001A73CA"/>
    <w:sectPr w:rsidR="001A73CA" w:rsidRPr="00BC7081" w:rsidSect="00F51082">
      <w:footerReference w:type="default" r:id="rId11"/>
      <w:footerReference w:type="first" r:id="rId12"/>
      <w:pgSz w:w="16838" w:h="11906" w:orient="landscape" w:code="9"/>
      <w:pgMar w:top="432" w:right="1440" w:bottom="432" w:left="1440" w:header="576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6CFC" w14:textId="77777777" w:rsidR="00885798" w:rsidRDefault="00885798" w:rsidP="0068194B">
      <w:r>
        <w:separator/>
      </w:r>
    </w:p>
    <w:p w14:paraId="551BA3A9" w14:textId="77777777" w:rsidR="00885798" w:rsidRDefault="00885798"/>
    <w:p w14:paraId="2062795E" w14:textId="77777777" w:rsidR="00885798" w:rsidRDefault="00885798"/>
  </w:endnote>
  <w:endnote w:type="continuationSeparator" w:id="0">
    <w:p w14:paraId="5721FD5D" w14:textId="77777777" w:rsidR="00885798" w:rsidRDefault="00885798" w:rsidP="0068194B">
      <w:r>
        <w:continuationSeparator/>
      </w:r>
    </w:p>
    <w:p w14:paraId="4E01B339" w14:textId="77777777" w:rsidR="00885798" w:rsidRDefault="00885798"/>
    <w:p w14:paraId="324574C3" w14:textId="77777777"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A8D36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6434" w14:textId="06EE98AA" w:rsidR="00F51082" w:rsidRDefault="00F5108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35F78" wp14:editId="10DA00AA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3905250" cy="800100"/>
          <wp:effectExtent l="0" t="0" r="0" b="0"/>
          <wp:wrapNone/>
          <wp:docPr id="1109517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17877" name="Graphic 11095178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414899" wp14:editId="788AD5C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DC01" w14:textId="5D1C5283" w:rsidR="00F51082" w:rsidRDefault="00F51082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F51082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Published by: K® (Kenzie) of SAUDI GULF HOSTiNG, All rights Reserved.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270B01" w:rsidRPr="00270B0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Typical Latency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14899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080DC01" w14:textId="5D1C5283" w:rsidR="00F51082" w:rsidRDefault="00F51082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F51082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Published by: K® (Kenzie) of SAUDI GULF HOSTiNG, All rights Reserved.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270B01" w:rsidRPr="00270B0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Typical Latency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5FA1" w14:textId="77777777" w:rsidR="00885798" w:rsidRDefault="00885798" w:rsidP="0068194B">
      <w:r>
        <w:separator/>
      </w:r>
    </w:p>
    <w:p w14:paraId="5BEA6161" w14:textId="77777777" w:rsidR="00885798" w:rsidRDefault="00885798"/>
    <w:p w14:paraId="49A6A16D" w14:textId="77777777" w:rsidR="00885798" w:rsidRDefault="00885798"/>
  </w:footnote>
  <w:footnote w:type="continuationSeparator" w:id="0">
    <w:p w14:paraId="41B6729C" w14:textId="77777777" w:rsidR="00885798" w:rsidRDefault="00885798" w:rsidP="0068194B">
      <w:r>
        <w:continuationSeparator/>
      </w:r>
    </w:p>
    <w:p w14:paraId="0F579FA5" w14:textId="77777777" w:rsidR="00885798" w:rsidRDefault="00885798"/>
    <w:p w14:paraId="2F942FAB" w14:textId="77777777" w:rsidR="00885798" w:rsidRDefault="00885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5261124">
    <w:abstractNumId w:val="9"/>
  </w:num>
  <w:num w:numId="2" w16cid:durableId="1184707990">
    <w:abstractNumId w:val="8"/>
  </w:num>
  <w:num w:numId="3" w16cid:durableId="27610671">
    <w:abstractNumId w:val="7"/>
  </w:num>
  <w:num w:numId="4" w16cid:durableId="1135484308">
    <w:abstractNumId w:val="6"/>
  </w:num>
  <w:num w:numId="5" w16cid:durableId="1980261106">
    <w:abstractNumId w:val="10"/>
  </w:num>
  <w:num w:numId="6" w16cid:durableId="1823539845">
    <w:abstractNumId w:val="3"/>
  </w:num>
  <w:num w:numId="7" w16cid:durableId="1080710469">
    <w:abstractNumId w:val="11"/>
  </w:num>
  <w:num w:numId="8" w16cid:durableId="2075665525">
    <w:abstractNumId w:val="2"/>
  </w:num>
  <w:num w:numId="9" w16cid:durableId="321353905">
    <w:abstractNumId w:val="12"/>
  </w:num>
  <w:num w:numId="10" w16cid:durableId="349335611">
    <w:abstractNumId w:val="5"/>
  </w:num>
  <w:num w:numId="11" w16cid:durableId="307252447">
    <w:abstractNumId w:val="4"/>
  </w:num>
  <w:num w:numId="12" w16cid:durableId="1917084883">
    <w:abstractNumId w:val="1"/>
  </w:num>
  <w:num w:numId="13" w16cid:durableId="6182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2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720C"/>
    <w:rsid w:val="00253360"/>
    <w:rsid w:val="002617AE"/>
    <w:rsid w:val="002638D0"/>
    <w:rsid w:val="002647D3"/>
    <w:rsid w:val="00270B01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43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798"/>
    <w:rsid w:val="00885897"/>
    <w:rsid w:val="008A38E7"/>
    <w:rsid w:val="008A6538"/>
    <w:rsid w:val="008B6020"/>
    <w:rsid w:val="008C7056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7C5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27D9F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5108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B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  <w:style w:type="character" w:styleId="Strong">
    <w:name w:val="Strong"/>
    <w:basedOn w:val="DefaultParagraphFont"/>
    <w:uiPriority w:val="22"/>
    <w:qFormat/>
    <w:rsid w:val="00F5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Delta\AppData\Roaming\Microsoft\Templates\STAR%20Technique%20job%20interview%20preparation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0</TotalTime>
  <Pages>1</Pages>
  <Words>96</Words>
  <Characters>483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by: K® (Kenzie) of SAUDI GULF HOSTiNG, All rights Reserved.</dc:title>
  <dc:subject>Typical Latency</dc:subject>
  <dc:creator/>
  <cp:keywords/>
  <dc:description/>
  <cp:lastModifiedBy/>
  <cp:revision>1</cp:revision>
  <dcterms:created xsi:type="dcterms:W3CDTF">2025-12-21T22:16:00Z</dcterms:created>
  <dcterms:modified xsi:type="dcterms:W3CDTF">2025-12-21T22:33:00Z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